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12 ביולי 2023</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כ"ג בתמוז תשפ"ג</w:t>
      </w:r>
      <w:r w:rsidRPr="00832AD7">
        <w:rPr>
          <w:rFonts w:ascii="Times New Roman" w:eastAsia="Times New Roman" w:hAnsi="Times New Roman" w:cs="David" w:hint="cs"/>
          <w:sz w:val="16"/>
          <w:szCs w:val="16"/>
          <w:rtl/>
        </w:rPr>
        <w:fldChar w:fldCharType="end"/>
      </w:r>
    </w:p>
    <w:p w:rsidR="00515986" w:rsidRPr="00391258" w:rsidRDefault="00983123" w:rsidP="00391258">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4700-1039-2023-006205</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541C9E" w:rsidRPr="00391258" w:rsidRDefault="00541C9E" w:rsidP="00391258">
      <w:pPr>
        <w:spacing w:after="120" w:line="360" w:lineRule="auto"/>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 xml:space="preserve">תקציר </w:t>
      </w:r>
      <w:r w:rsidRPr="000071E5">
        <w:rPr>
          <w:rFonts w:ascii="FrankRuehl" w:hAnsi="FrankRuehl" w:cs="FrankRuehl" w:hint="cs"/>
          <w:b/>
          <w:bCs/>
          <w:color w:val="002060"/>
          <w:sz w:val="32"/>
          <w:szCs w:val="32"/>
          <w:u w:val="single"/>
          <w:rtl/>
        </w:rPr>
        <w:t>גזר-</w:t>
      </w:r>
      <w:r w:rsidRPr="00391258">
        <w:rPr>
          <w:rFonts w:ascii="FrankRuehl" w:hAnsi="FrankRuehl" w:cs="FrankRuehl" w:hint="cs"/>
          <w:b/>
          <w:bCs/>
          <w:color w:val="002060"/>
          <w:sz w:val="32"/>
          <w:szCs w:val="32"/>
          <w:u w:val="single"/>
          <w:rtl/>
        </w:rPr>
        <w:t>דין</w:t>
      </w:r>
      <w:r w:rsidR="00391258" w:rsidRPr="00391258">
        <w:rPr>
          <w:rFonts w:ascii="FrankRuehl" w:hAnsi="FrankRuehl" w:cs="FrankRuehl" w:hint="cs"/>
          <w:b/>
          <w:bCs/>
          <w:color w:val="002060"/>
          <w:sz w:val="32"/>
          <w:szCs w:val="32"/>
          <w:u w:val="single"/>
          <w:rtl/>
        </w:rPr>
        <w:t xml:space="preserve"> </w:t>
      </w:r>
      <w:r w:rsidR="00391258">
        <w:rPr>
          <w:rFonts w:ascii="FrankRuehl" w:hAnsi="FrankRuehl" w:cs="FrankRuehl" w:hint="cs"/>
          <w:b/>
          <w:bCs/>
          <w:color w:val="002060"/>
          <w:sz w:val="32"/>
          <w:szCs w:val="32"/>
          <w:u w:val="single"/>
          <w:rtl/>
        </w:rPr>
        <w:t>ב</w:t>
      </w:r>
      <w:r w:rsidRPr="00391258">
        <w:rPr>
          <w:rFonts w:ascii="FrankRuehl" w:hAnsi="FrankRuehl" w:cs="FrankRuehl" w:hint="cs"/>
          <w:b/>
          <w:bCs/>
          <w:color w:val="002060"/>
          <w:sz w:val="32"/>
          <w:szCs w:val="32"/>
          <w:u w:val="single"/>
          <w:rtl/>
        </w:rPr>
        <w:t>תיק</w:t>
      </w:r>
      <w:r w:rsidR="00391258" w:rsidRPr="00391258">
        <w:rPr>
          <w:rFonts w:ascii="FrankRuehl" w:hAnsi="FrankRuehl" w:cs="FrankRuehl" w:hint="cs"/>
          <w:b/>
          <w:bCs/>
          <w:color w:val="002060"/>
          <w:sz w:val="32"/>
          <w:szCs w:val="32"/>
          <w:u w:val="single"/>
          <w:rtl/>
        </w:rPr>
        <w:t xml:space="preserve"> תפ"ח</w:t>
      </w:r>
      <w:r w:rsidRPr="00391258">
        <w:rPr>
          <w:rFonts w:ascii="FrankRuehl" w:hAnsi="FrankRuehl" w:cs="FrankRuehl" w:hint="cs"/>
          <w:b/>
          <w:bCs/>
          <w:color w:val="002060"/>
          <w:sz w:val="32"/>
          <w:szCs w:val="32"/>
          <w:u w:val="single"/>
          <w:rtl/>
        </w:rPr>
        <w:t xml:space="preserve"> </w:t>
      </w:r>
      <w:r w:rsidR="00391258" w:rsidRPr="00391258">
        <w:rPr>
          <w:rFonts w:ascii="FrankRuehl" w:hAnsi="FrankRuehl" w:cs="FrankRuehl" w:hint="cs"/>
          <w:b/>
          <w:bCs/>
          <w:color w:val="002060"/>
          <w:sz w:val="32"/>
          <w:szCs w:val="32"/>
          <w:u w:val="single"/>
          <w:rtl/>
        </w:rPr>
        <w:t>8148-07-21 מדינת ישראל</w:t>
      </w:r>
      <w:r w:rsidRPr="00391258">
        <w:rPr>
          <w:rFonts w:ascii="FrankRuehl" w:hAnsi="FrankRuehl" w:cs="FrankRuehl" w:hint="cs"/>
          <w:b/>
          <w:bCs/>
          <w:color w:val="002060"/>
          <w:sz w:val="32"/>
          <w:szCs w:val="32"/>
          <w:u w:val="single"/>
          <w:rtl/>
        </w:rPr>
        <w:t xml:space="preserve"> נ'</w:t>
      </w:r>
      <w:r w:rsidR="00391258" w:rsidRPr="00391258">
        <w:rPr>
          <w:rFonts w:ascii="FrankRuehl" w:hAnsi="FrankRuehl" w:cs="FrankRuehl" w:hint="cs"/>
          <w:b/>
          <w:bCs/>
          <w:color w:val="002060"/>
          <w:sz w:val="32"/>
          <w:szCs w:val="32"/>
          <w:u w:val="single"/>
          <w:rtl/>
        </w:rPr>
        <w:t xml:space="preserve"> פלוני ואח'</w:t>
      </w:r>
    </w:p>
    <w:p w:rsidR="00541C9E" w:rsidRPr="00391258" w:rsidRDefault="00CC20F3" w:rsidP="00391258">
      <w:pPr>
        <w:spacing w:after="120"/>
        <w:jc w:val="center"/>
        <w:rPr>
          <w:rFonts w:ascii="FrankRuehl" w:hAnsi="FrankRuehl" w:cs="FrankRuehl"/>
          <w:b/>
          <w:bCs/>
          <w:color w:val="002060"/>
          <w:sz w:val="32"/>
          <w:szCs w:val="32"/>
          <w:u w:val="single"/>
          <w:rtl/>
        </w:rPr>
      </w:pPr>
      <w:r>
        <w:rPr>
          <w:rFonts w:ascii="FrankRuehl" w:hAnsi="FrankRuehl" w:cs="FrankRuehl" w:hint="cs"/>
          <w:b/>
          <w:bCs/>
          <w:color w:val="002060"/>
          <w:sz w:val="32"/>
          <w:szCs w:val="32"/>
          <w:u w:val="single"/>
          <w:rtl/>
        </w:rPr>
        <w:t xml:space="preserve">אב"ד </w:t>
      </w:r>
      <w:r w:rsidR="00541C9E" w:rsidRPr="00391258">
        <w:rPr>
          <w:rFonts w:ascii="FrankRuehl" w:hAnsi="FrankRuehl" w:cs="FrankRuehl"/>
          <w:b/>
          <w:bCs/>
          <w:color w:val="002060"/>
          <w:sz w:val="32"/>
          <w:szCs w:val="32"/>
          <w:u w:val="single"/>
          <w:rtl/>
        </w:rPr>
        <w:t>השופט</w:t>
      </w:r>
      <w:r w:rsidR="00391258" w:rsidRPr="00391258">
        <w:rPr>
          <w:rFonts w:ascii="FrankRuehl" w:hAnsi="FrankRuehl" w:cs="FrankRuehl" w:hint="cs"/>
          <w:b/>
          <w:bCs/>
          <w:color w:val="002060"/>
          <w:sz w:val="32"/>
          <w:szCs w:val="32"/>
          <w:u w:val="single"/>
          <w:rtl/>
        </w:rPr>
        <w:t>ת גילת שלו</w:t>
      </w:r>
      <w:r w:rsidR="00541C9E" w:rsidRPr="00391258">
        <w:rPr>
          <w:rFonts w:ascii="FrankRuehl" w:hAnsi="FrankRuehl" w:cs="FrankRuehl" w:hint="cs"/>
          <w:b/>
          <w:bCs/>
          <w:color w:val="002060"/>
          <w:sz w:val="32"/>
          <w:szCs w:val="32"/>
          <w:u w:val="single"/>
          <w:rtl/>
        </w:rPr>
        <w:t xml:space="preserve"> </w:t>
      </w:r>
      <w:r>
        <w:rPr>
          <w:rFonts w:ascii="FrankRuehl" w:hAnsi="FrankRuehl" w:cs="FrankRuehl" w:hint="cs"/>
          <w:b/>
          <w:bCs/>
          <w:color w:val="002060"/>
          <w:sz w:val="32"/>
          <w:szCs w:val="32"/>
          <w:u w:val="single"/>
          <w:rtl/>
        </w:rPr>
        <w:t>השופטת יעל ייטב והשופט יעקב דנינו</w:t>
      </w:r>
    </w:p>
    <w:p w:rsidR="00391258" w:rsidRDefault="00391258" w:rsidP="00391258">
      <w:pPr>
        <w:spacing w:line="360" w:lineRule="auto"/>
        <w:jc w:val="both"/>
        <w:rPr>
          <w:rFonts w:ascii="David" w:hAnsi="David" w:cs="David"/>
          <w:sz w:val="24"/>
          <w:szCs w:val="24"/>
          <w:rtl/>
        </w:rPr>
      </w:pPr>
      <w:r>
        <w:rPr>
          <w:rFonts w:ascii="David" w:hAnsi="David" w:cs="David" w:hint="cs"/>
          <w:sz w:val="24"/>
          <w:szCs w:val="24"/>
          <w:rtl/>
        </w:rPr>
        <w:t>בבית המשפט המחוזי בבאר שבע הסתיים היום הליך שבו נדונה פרשיה שבמסגרתה הורשעו מספר צעירים מאזור הדרום, בפגיעות מיניות חמורות בקטינה. במסגרת הפרשיה האמורה, נדונו בין היתר שלושה צעירים, שהיו קטינים כבני 16-17 בעת המעשים.</w:t>
      </w:r>
    </w:p>
    <w:p w:rsidR="00391258" w:rsidRPr="00C60D02" w:rsidRDefault="00391258" w:rsidP="00391258">
      <w:pPr>
        <w:spacing w:line="360" w:lineRule="auto"/>
        <w:jc w:val="both"/>
        <w:rPr>
          <w:rFonts w:ascii="Calibri" w:eastAsia="Calibri" w:hAnsi="Calibri" w:cs="David"/>
          <w:sz w:val="24"/>
          <w:szCs w:val="24"/>
        </w:rPr>
      </w:pPr>
      <w:r>
        <w:rPr>
          <w:rFonts w:ascii="David" w:hAnsi="David" w:cs="David" w:hint="cs"/>
          <w:sz w:val="24"/>
          <w:szCs w:val="24"/>
          <w:rtl/>
        </w:rPr>
        <w:t>בית המשפט סקר את הוראות חוק הנוער ואת פסיקת בית המשפט העליון</w:t>
      </w:r>
      <w:r>
        <w:rPr>
          <w:rFonts w:ascii="David" w:eastAsia="David" w:hAnsi="David" w:cs="David" w:hint="cs"/>
          <w:sz w:val="24"/>
          <w:szCs w:val="24"/>
          <w:rtl/>
        </w:rPr>
        <w:t xml:space="preserve"> שלפיהם בעת שפיטת קטינים, על </w:t>
      </w:r>
      <w:r w:rsidRPr="00C60D02">
        <w:rPr>
          <w:rFonts w:ascii="David" w:eastAsia="David" w:hAnsi="David" w:cs="David" w:hint="cs"/>
          <w:sz w:val="24"/>
          <w:szCs w:val="24"/>
          <w:rtl/>
        </w:rPr>
        <w:t>בית המשפט לתת מש</w:t>
      </w:r>
      <w:r>
        <w:rPr>
          <w:rFonts w:ascii="David" w:eastAsia="David" w:hAnsi="David" w:cs="David" w:hint="cs"/>
          <w:sz w:val="24"/>
          <w:szCs w:val="24"/>
          <w:rtl/>
        </w:rPr>
        <w:t xml:space="preserve">קל משמעותי לשיקולי שיקומם. מנגד, נקבע בפסיקה כי </w:t>
      </w:r>
      <w:r w:rsidRPr="00C60D02">
        <w:rPr>
          <w:rFonts w:ascii="David" w:eastAsia="Times New Roman" w:hAnsi="David" w:cs="David"/>
          <w:sz w:val="24"/>
          <w:szCs w:val="24"/>
          <w:rtl/>
        </w:rPr>
        <w:t xml:space="preserve">קטינות אינה מהווה חסינות, </w:t>
      </w:r>
      <w:r w:rsidRPr="00C60D02">
        <w:rPr>
          <w:rFonts w:ascii="Calibri" w:eastAsia="Calibri" w:hAnsi="Calibri" w:cs="David"/>
          <w:sz w:val="24"/>
          <w:szCs w:val="24"/>
          <w:rtl/>
        </w:rPr>
        <w:t>כי היא אינה מאיינת את שיקולי הענישה האחרים</w:t>
      </w:r>
      <w:r w:rsidRPr="00C60D02">
        <w:rPr>
          <w:rFonts w:ascii="Calibri" w:eastAsia="Calibri" w:hAnsi="Calibri" w:cs="David" w:hint="cs"/>
          <w:sz w:val="24"/>
          <w:szCs w:val="24"/>
          <w:rtl/>
        </w:rPr>
        <w:t>,</w:t>
      </w:r>
      <w:r w:rsidRPr="00C60D02">
        <w:rPr>
          <w:rFonts w:ascii="Calibri" w:eastAsia="Calibri" w:hAnsi="Calibri" w:cs="David"/>
          <w:sz w:val="24"/>
          <w:szCs w:val="24"/>
          <w:rtl/>
        </w:rPr>
        <w:t xml:space="preserve"> וכי</w:t>
      </w:r>
      <w:r w:rsidRPr="00C60D02">
        <w:rPr>
          <w:rFonts w:ascii="Calibri" w:eastAsia="Calibri" w:hAnsi="Calibri" w:cs="David" w:hint="cs"/>
          <w:sz w:val="24"/>
          <w:szCs w:val="24"/>
          <w:rtl/>
        </w:rPr>
        <w:t xml:space="preserve"> </w:t>
      </w:r>
      <w:r w:rsidRPr="00C60D02">
        <w:rPr>
          <w:rFonts w:ascii="Calibri" w:eastAsia="Calibri" w:hAnsi="Calibri" w:cs="David"/>
          <w:sz w:val="24"/>
          <w:szCs w:val="24"/>
          <w:rtl/>
        </w:rPr>
        <w:t>במקרה המתאים לא יירתע בית המשפט מהטל</w:t>
      </w:r>
      <w:r w:rsidRPr="00C60D02">
        <w:rPr>
          <w:rFonts w:ascii="Calibri" w:eastAsia="Calibri" w:hAnsi="Calibri" w:cs="David" w:hint="cs"/>
          <w:sz w:val="24"/>
          <w:szCs w:val="24"/>
          <w:rtl/>
        </w:rPr>
        <w:t>ת</w:t>
      </w:r>
      <w:r>
        <w:rPr>
          <w:rFonts w:ascii="Calibri" w:eastAsia="Calibri" w:hAnsi="Calibri" w:cs="David"/>
          <w:sz w:val="24"/>
          <w:szCs w:val="24"/>
          <w:rtl/>
        </w:rPr>
        <w:t xml:space="preserve"> עונש מאסר ממש על קטין</w:t>
      </w:r>
      <w:r w:rsidRPr="00C60D02">
        <w:rPr>
          <w:rFonts w:ascii="Calibri" w:eastAsia="Calibri" w:hAnsi="Calibri" w:cs="David" w:hint="cs"/>
          <w:sz w:val="24"/>
          <w:szCs w:val="24"/>
          <w:rtl/>
        </w:rPr>
        <w:t>.</w:t>
      </w:r>
      <w:r>
        <w:rPr>
          <w:rFonts w:ascii="Calibri" w:eastAsia="Calibri" w:hAnsi="Calibri" w:cs="David" w:hint="cs"/>
          <w:sz w:val="24"/>
          <w:szCs w:val="24"/>
          <w:rtl/>
        </w:rPr>
        <w:t xml:space="preserve"> בפסיקת בית המשפט העליון נקבע כי בבואו לגזור דינו של קטין, על </w:t>
      </w:r>
      <w:r>
        <w:rPr>
          <w:rFonts w:ascii="David" w:eastAsia="Times New Roman" w:hAnsi="David" w:cs="David" w:hint="cs"/>
          <w:sz w:val="24"/>
          <w:szCs w:val="24"/>
          <w:rtl/>
        </w:rPr>
        <w:t xml:space="preserve">בית המשפט לשקול מספר שיקולים, ובהם: </w:t>
      </w:r>
      <w:r w:rsidRPr="00C60D02">
        <w:rPr>
          <w:rFonts w:ascii="Calibri" w:eastAsia="Calibri" w:hAnsi="Calibri" w:cs="David" w:hint="cs"/>
          <w:sz w:val="24"/>
          <w:szCs w:val="24"/>
          <w:rtl/>
        </w:rPr>
        <w:t>גילו של הקטין בעת ביצוע העבירה, כאשר נקבע כי אין דינו של קטין שביצע את העבירה על סף גיל האחריות הפלילית כדינו של מי שחצה</w:t>
      </w:r>
      <w:r>
        <w:rPr>
          <w:rFonts w:ascii="Calibri" w:eastAsia="Calibri" w:hAnsi="Calibri" w:cs="David" w:hint="cs"/>
          <w:sz w:val="24"/>
          <w:szCs w:val="24"/>
          <w:rtl/>
        </w:rPr>
        <w:t xml:space="preserve"> את גיל האחריות הפלילית זה מכבר; ה</w:t>
      </w:r>
      <w:r w:rsidRPr="00C60D02">
        <w:rPr>
          <w:rFonts w:ascii="Calibri" w:eastAsia="Calibri" w:hAnsi="Calibri" w:cs="David" w:hint="cs"/>
          <w:sz w:val="24"/>
          <w:szCs w:val="24"/>
          <w:rtl/>
        </w:rPr>
        <w:t xml:space="preserve">בעת חרטה כנה </w:t>
      </w:r>
      <w:proofErr w:type="spellStart"/>
      <w:r w:rsidRPr="00C60D02">
        <w:rPr>
          <w:rFonts w:ascii="Calibri" w:eastAsia="Calibri" w:hAnsi="Calibri" w:cs="David" w:hint="cs"/>
          <w:sz w:val="24"/>
          <w:szCs w:val="24"/>
          <w:rtl/>
        </w:rPr>
        <w:t>ואמיתית</w:t>
      </w:r>
      <w:proofErr w:type="spellEnd"/>
      <w:r w:rsidRPr="00C60D02">
        <w:rPr>
          <w:rFonts w:ascii="Calibri" w:eastAsia="Calibri" w:hAnsi="Calibri" w:cs="David" w:hint="cs"/>
          <w:sz w:val="24"/>
          <w:szCs w:val="24"/>
          <w:rtl/>
        </w:rPr>
        <w:t xml:space="preserve"> על בי</w:t>
      </w:r>
      <w:r>
        <w:rPr>
          <w:rFonts w:ascii="Calibri" w:eastAsia="Calibri" w:hAnsi="Calibri" w:cs="David" w:hint="cs"/>
          <w:sz w:val="24"/>
          <w:szCs w:val="24"/>
          <w:rtl/>
        </w:rPr>
        <w:t>צוע העבירה ונטילת אחריות למעשיו; עברו הפלילי של הקטין; סיכויי השיקום של הקטין</w:t>
      </w:r>
      <w:r w:rsidRPr="00C60D02">
        <w:rPr>
          <w:rFonts w:ascii="Calibri" w:eastAsia="Calibri" w:hAnsi="Calibri" w:cs="David" w:hint="cs"/>
          <w:sz w:val="24"/>
          <w:szCs w:val="24"/>
          <w:rtl/>
        </w:rPr>
        <w:t xml:space="preserve"> על פי</w:t>
      </w:r>
      <w:r>
        <w:rPr>
          <w:rFonts w:ascii="Calibri" w:eastAsia="Calibri" w:hAnsi="Calibri" w:cs="David" w:hint="cs"/>
          <w:sz w:val="24"/>
          <w:szCs w:val="24"/>
          <w:rtl/>
        </w:rPr>
        <w:t xml:space="preserve"> חוות דעתם של הגורמים המקצועיים; וחומרת המעשים.</w:t>
      </w:r>
    </w:p>
    <w:p w:rsidR="00391258" w:rsidRDefault="00391258" w:rsidP="00391258">
      <w:pPr>
        <w:spacing w:line="360" w:lineRule="auto"/>
        <w:jc w:val="both"/>
        <w:rPr>
          <w:rFonts w:ascii="David" w:hAnsi="David" w:cs="David"/>
          <w:sz w:val="24"/>
          <w:szCs w:val="24"/>
          <w:rtl/>
        </w:rPr>
      </w:pPr>
      <w:r>
        <w:rPr>
          <w:rFonts w:ascii="David" w:hAnsi="David" w:cs="David" w:hint="cs"/>
          <w:sz w:val="24"/>
          <w:szCs w:val="24"/>
          <w:rtl/>
        </w:rPr>
        <w:t xml:space="preserve">בית המשפט קבע כי חומרת העבירות שביצעו הנאשמים, </w:t>
      </w:r>
      <w:r w:rsidRPr="00C60D02">
        <w:rPr>
          <w:rFonts w:ascii="David" w:eastAsia="David" w:hAnsi="David" w:cs="David" w:hint="cs"/>
          <w:sz w:val="24"/>
          <w:szCs w:val="24"/>
          <w:rtl/>
        </w:rPr>
        <w:t>היא נסיבה בעלת משקל רב בעת גזירת עונשם, ויש בה כדי להטות את הכף להעדפת האינטרס הציבורי ושיקולי הגמול וההרתעה</w:t>
      </w:r>
      <w:r>
        <w:rPr>
          <w:rFonts w:ascii="David" w:hAnsi="David" w:cs="David" w:hint="cs"/>
          <w:sz w:val="24"/>
          <w:szCs w:val="24"/>
          <w:rtl/>
        </w:rPr>
        <w:t xml:space="preserve">, </w:t>
      </w:r>
      <w:r w:rsidRPr="00C60D02">
        <w:rPr>
          <w:rFonts w:ascii="David" w:eastAsia="Calibri" w:hAnsi="David" w:cs="David" w:hint="cs"/>
          <w:sz w:val="24"/>
          <w:szCs w:val="24"/>
          <w:rtl/>
        </w:rPr>
        <w:t xml:space="preserve">על פני שיקולי השיקום הנובעים </w:t>
      </w:r>
      <w:proofErr w:type="spellStart"/>
      <w:r w:rsidRPr="00C60D02">
        <w:rPr>
          <w:rFonts w:ascii="David" w:eastAsia="Calibri" w:hAnsi="David" w:cs="David" w:hint="cs"/>
          <w:sz w:val="24"/>
          <w:szCs w:val="24"/>
          <w:rtl/>
        </w:rPr>
        <w:t>מקטינותם</w:t>
      </w:r>
      <w:proofErr w:type="spellEnd"/>
      <w:r>
        <w:rPr>
          <w:rFonts w:ascii="David" w:eastAsia="Calibri" w:hAnsi="David" w:cs="David" w:hint="cs"/>
          <w:sz w:val="24"/>
          <w:szCs w:val="24"/>
          <w:rtl/>
        </w:rPr>
        <w:t xml:space="preserve"> ומההליכים הטיפוליים שעברו, </w:t>
      </w:r>
      <w:r w:rsidRPr="00C60D02">
        <w:rPr>
          <w:rFonts w:ascii="David" w:eastAsia="Calibri" w:hAnsi="David" w:cs="David" w:hint="cs"/>
          <w:sz w:val="24"/>
          <w:szCs w:val="24"/>
          <w:rtl/>
        </w:rPr>
        <w:t xml:space="preserve">כל זאת בעיקר כאשר מדובר בקטינים שאינם קרובים לגיל האחריות הפלילית, אלא היו בוגרים יחסית וקרובים לגיל בגירות. </w:t>
      </w:r>
    </w:p>
    <w:p w:rsidR="00CC20F3" w:rsidRDefault="00391258" w:rsidP="00391258">
      <w:pPr>
        <w:spacing w:line="360" w:lineRule="auto"/>
        <w:jc w:val="both"/>
        <w:rPr>
          <w:rFonts w:ascii="David" w:hAnsi="David" w:cs="David"/>
          <w:sz w:val="24"/>
          <w:szCs w:val="24"/>
          <w:rtl/>
        </w:rPr>
      </w:pPr>
      <w:r>
        <w:rPr>
          <w:rFonts w:ascii="David" w:hAnsi="David" w:cs="David" w:hint="cs"/>
          <w:sz w:val="24"/>
          <w:szCs w:val="24"/>
          <w:rtl/>
        </w:rPr>
        <w:t xml:space="preserve">בית המשפט החליט לדון את הנאשמים לעונשי מאסר משמעותיים ופיצוי למתלוננת, וזאת לאור חומרת המעשים ולאור הנזק הרב שנגרם למתלוננת כעולה מתסקיר נפגעת העבירה, ועל אף שמדובר בקטינים אשר עברו הליכי שיקום ממושכים, שבעניינם המליץ שירות המבחן להטיל צו מעון נעול ולאחר מכן צווי מבחן המשכיים. </w:t>
      </w:r>
    </w:p>
    <w:p w:rsidR="00541C9E" w:rsidRPr="00391258" w:rsidRDefault="00391258" w:rsidP="00391258">
      <w:pPr>
        <w:spacing w:line="360" w:lineRule="auto"/>
        <w:jc w:val="both"/>
        <w:rPr>
          <w:rFonts w:ascii="David" w:hAnsi="David" w:cs="David"/>
          <w:sz w:val="24"/>
          <w:szCs w:val="24"/>
        </w:rPr>
      </w:pPr>
      <w:r>
        <w:rPr>
          <w:rFonts w:ascii="David" w:hAnsi="David" w:cs="David" w:hint="cs"/>
          <w:sz w:val="24"/>
          <w:szCs w:val="24"/>
          <w:rtl/>
        </w:rPr>
        <w:t xml:space="preserve">לגבי אחד הקטינים, קיבל בית המשפט את עתירתה </w:t>
      </w:r>
      <w:proofErr w:type="spellStart"/>
      <w:r>
        <w:rPr>
          <w:rFonts w:ascii="David" w:hAnsi="David" w:cs="David" w:hint="cs"/>
          <w:sz w:val="24"/>
          <w:szCs w:val="24"/>
          <w:rtl/>
        </w:rPr>
        <w:t>העונשית</w:t>
      </w:r>
      <w:proofErr w:type="spellEnd"/>
      <w:r>
        <w:rPr>
          <w:rFonts w:ascii="David" w:hAnsi="David" w:cs="David" w:hint="cs"/>
          <w:sz w:val="24"/>
          <w:szCs w:val="24"/>
          <w:rtl/>
        </w:rPr>
        <w:t xml:space="preserve"> של המאשימה והטיל עליו עונש מאסר בפועל למשך 10 שנים ופיצוי למתלוננת בסך 120,000 ₪. על נאשם נוסף הוטל עונש מאסר בפועל למשך 6 שנים ופיצוי המתלוננת בסך 80,000 ₪; ועל הנאשם השלישי הוטל עונש מאסר בפועל למשך 4 וחצי שנים ופיצוי המתלוננת בסך 60,000 ₪. </w:t>
      </w: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2453CF" w:rsidRPr="007B7899" w:rsidRDefault="002453CF" w:rsidP="00391258">
      <w:pPr>
        <w:spacing w:before="100" w:beforeAutospacing="1" w:after="100" w:afterAutospacing="1" w:line="240" w:lineRule="auto"/>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503A" w:rsidRDefault="00B0503A" w:rsidP="00730CA1">
      <w:pPr>
        <w:spacing w:after="0" w:line="240" w:lineRule="auto"/>
      </w:pPr>
      <w:r>
        <w:separator/>
      </w:r>
    </w:p>
  </w:endnote>
  <w:endnote w:type="continuationSeparator" w:id="0">
    <w:p w:rsidR="00B0503A" w:rsidRDefault="00B0503A"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503A" w:rsidRDefault="00B0503A" w:rsidP="00730CA1">
      <w:pPr>
        <w:spacing w:after="0" w:line="240" w:lineRule="auto"/>
      </w:pPr>
      <w:r>
        <w:separator/>
      </w:r>
    </w:p>
  </w:footnote>
  <w:footnote w:type="continuationSeparator" w:id="0">
    <w:p w:rsidR="00B0503A" w:rsidRDefault="00B0503A"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1258"/>
    <w:rsid w:val="003921C3"/>
    <w:rsid w:val="003C61AF"/>
    <w:rsid w:val="003E6E39"/>
    <w:rsid w:val="003E7EB7"/>
    <w:rsid w:val="00426AA7"/>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A231A"/>
    <w:rsid w:val="009E5C0E"/>
    <w:rsid w:val="00AD7644"/>
    <w:rsid w:val="00B0503A"/>
    <w:rsid w:val="00B16422"/>
    <w:rsid w:val="00B22AFC"/>
    <w:rsid w:val="00B70CC3"/>
    <w:rsid w:val="00BA3143"/>
    <w:rsid w:val="00C22E08"/>
    <w:rsid w:val="00C37F37"/>
    <w:rsid w:val="00C50C55"/>
    <w:rsid w:val="00C529CC"/>
    <w:rsid w:val="00C842A7"/>
    <w:rsid w:val="00C85A27"/>
    <w:rsid w:val="00CA2D6A"/>
    <w:rsid w:val="00CB4940"/>
    <w:rsid w:val="00CC20F3"/>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1FCDFBA-D139-4772-BEBB-490768AA1415}">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1970</Characters>
  <Application>Microsoft Office Word</Application>
  <DocSecurity>0</DocSecurity>
  <Lines>16</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2023-07-16T11:50:00Z</dcterms:created>
  <dcterms:modified xsi:type="dcterms:W3CDTF">2023-07-16T11:50:00Z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12 ביולי 2023</vt:lpwstr>
  </property>
  <property fmtid="{D5CDD505-2E9C-101B-9397-08002B2CF9AE}" pid="3" name="DocDateHeb">
    <vt:lpwstr>כ"ג בתמוז תשפ"ג</vt:lpwstr>
  </property>
  <property fmtid="{D5CDD505-2E9C-101B-9397-08002B2CF9AE}" pid="4" name="DocNumber">
    <vt:lpwstr>4700-1039-2023-006205</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תפ"ח 8148-07-21</vt:lpwstr>
  </property>
</Properties>
</file>